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544492A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730A">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ED730A">
        <w:rPr>
          <w:rFonts w:ascii="Arial" w:eastAsiaTheme="minorEastAsia" w:hAnsi="Arial" w:cs="Arial"/>
          <w:b/>
          <w:sz w:val="24"/>
          <w:szCs w:val="24"/>
          <w:lang w:eastAsia="zh-CN"/>
        </w:rPr>
        <w:t>1110</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56BF222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176B4">
        <w:rPr>
          <w:rFonts w:ascii="Arial" w:eastAsiaTheme="minorEastAsia" w:hAnsi="Arial" w:cs="Arial"/>
          <w:b/>
          <w:bCs/>
          <w:color w:val="000000"/>
          <w:sz w:val="22"/>
          <w:lang w:eastAsia="zh-CN"/>
        </w:rPr>
        <w:t>8.1.1.2.</w:t>
      </w:r>
      <w:r w:rsidR="00ED7417">
        <w:rPr>
          <w:rFonts w:ascii="Arial" w:eastAsiaTheme="minorEastAsia" w:hAnsi="Arial" w:cs="Arial"/>
          <w:b/>
          <w:bCs/>
          <w:color w:val="000000"/>
          <w:sz w:val="22"/>
          <w:lang w:eastAsia="zh-CN"/>
        </w:rPr>
        <w:t>3</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078AC0BC"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D7417" w:rsidRPr="00ED7417">
        <w:rPr>
          <w:rFonts w:ascii="Arial" w:eastAsia="MS Mincho" w:hAnsi="Arial" w:cs="Arial"/>
          <w:b/>
          <w:color w:val="000000"/>
          <w:sz w:val="22"/>
        </w:rPr>
        <w:t>Further discussion on MPR applicability for FR2</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1A286333" w14:textId="7F721162" w:rsidR="00484C5D" w:rsidRDefault="003676B2" w:rsidP="00642BC6">
      <w:pPr>
        <w:rPr>
          <w:lang w:val="sv-SE" w:eastAsia="ja-JP"/>
        </w:rPr>
      </w:pPr>
      <w:r>
        <w:rPr>
          <w:lang w:val="sv-SE" w:eastAsia="ja-JP"/>
        </w:rPr>
        <w:t>In RAN4#111</w:t>
      </w:r>
      <w:r w:rsidR="009B2E9B">
        <w:rPr>
          <w:lang w:val="sv-SE" w:eastAsia="ja-JP"/>
        </w:rPr>
        <w:t>, RAN4 has reached some agreements regarding MPR applicability for FR2 [1]:</w:t>
      </w:r>
    </w:p>
    <w:tbl>
      <w:tblPr>
        <w:tblStyle w:val="TableGrid"/>
        <w:tblW w:w="0" w:type="auto"/>
        <w:tblLook w:val="04A0" w:firstRow="1" w:lastRow="0" w:firstColumn="1" w:lastColumn="0" w:noHBand="0" w:noVBand="1"/>
      </w:tblPr>
      <w:tblGrid>
        <w:gridCol w:w="9631"/>
      </w:tblGrid>
      <w:tr w:rsidR="002C3BA7" w:rsidRPr="00DB4F3E" w14:paraId="7745A8C0" w14:textId="77777777" w:rsidTr="002C3BA7">
        <w:tc>
          <w:tcPr>
            <w:tcW w:w="9631" w:type="dxa"/>
          </w:tcPr>
          <w:p w14:paraId="4E8D7541" w14:textId="77777777" w:rsidR="002C3BA7" w:rsidRPr="002C3BA7" w:rsidRDefault="002C3BA7" w:rsidP="002C3BA7">
            <w:pPr>
              <w:keepNext/>
              <w:keepLines/>
              <w:spacing w:before="180"/>
              <w:outlineLvl w:val="1"/>
              <w:rPr>
                <w:rFonts w:ascii="Arial" w:eastAsia="Times New Roman" w:hAnsi="Arial"/>
                <w:i/>
                <w:iCs/>
                <w:sz w:val="18"/>
                <w:szCs w:val="14"/>
                <w:lang w:eastAsia="en-GB"/>
              </w:rPr>
            </w:pPr>
            <w:r w:rsidRPr="002C3BA7">
              <w:rPr>
                <w:rFonts w:ascii="Arial" w:eastAsia="Times New Roman" w:hAnsi="Arial"/>
                <w:i/>
                <w:iCs/>
                <w:sz w:val="18"/>
                <w:szCs w:val="14"/>
                <w:lang w:eastAsia="en-GB"/>
              </w:rPr>
              <w:t xml:space="preserve">2.3. Applicable MPR for FR2 single carrier UL with DL intra band CA </w:t>
            </w:r>
          </w:p>
          <w:p w14:paraId="23D822F2" w14:textId="77777777" w:rsidR="002C3BA7" w:rsidRPr="002C3BA7" w:rsidRDefault="002C3BA7" w:rsidP="002C3BA7">
            <w:pPr>
              <w:rPr>
                <w:rFonts w:eastAsia="Times New Roman"/>
                <w:b/>
                <w:i/>
                <w:iCs/>
                <w:sz w:val="18"/>
                <w:szCs w:val="14"/>
                <w:lang w:eastAsia="zh-CN"/>
              </w:rPr>
            </w:pPr>
            <w:r w:rsidRPr="002C3BA7">
              <w:rPr>
                <w:rFonts w:eastAsia="Times New Roman"/>
                <w:b/>
                <w:i/>
                <w:iCs/>
                <w:sz w:val="18"/>
                <w:szCs w:val="14"/>
                <w:lang w:eastAsia="zh-CN"/>
              </w:rPr>
              <w:t>Way forward:</w:t>
            </w:r>
          </w:p>
          <w:p w14:paraId="35C159B5" w14:textId="77777777" w:rsidR="002C3BA7" w:rsidRPr="002C3BA7" w:rsidRDefault="002C3BA7" w:rsidP="002C3BA7">
            <w:pPr>
              <w:numPr>
                <w:ilvl w:val="0"/>
                <w:numId w:val="27"/>
              </w:numPr>
              <w:spacing w:after="120"/>
              <w:rPr>
                <w:rFonts w:eastAsiaTheme="minorEastAsia"/>
                <w:i/>
                <w:iCs/>
                <w:sz w:val="18"/>
                <w:szCs w:val="14"/>
                <w:lang w:eastAsia="zh-CN"/>
              </w:rPr>
            </w:pPr>
            <w:r w:rsidRPr="002C3BA7">
              <w:rPr>
                <w:rFonts w:eastAsiaTheme="minorEastAsia"/>
                <w:i/>
                <w:iCs/>
                <w:sz w:val="18"/>
                <w:szCs w:val="14"/>
                <w:lang w:eastAsia="zh-CN"/>
              </w:rPr>
              <w:t>For the case of single carrier UL with DL intra band CA, the MPR requirements of single carrier case in clause 6.2.2 of TS 38.101-2 applies with UE indication of new capability for MPR improvement.</w:t>
            </w:r>
          </w:p>
          <w:p w14:paraId="41D83241" w14:textId="77777777" w:rsidR="002C3BA7" w:rsidRPr="002C3BA7" w:rsidRDefault="002C3BA7" w:rsidP="002C3BA7">
            <w:pPr>
              <w:keepNext/>
              <w:keepLines/>
              <w:spacing w:before="180"/>
              <w:outlineLvl w:val="1"/>
              <w:rPr>
                <w:rFonts w:ascii="Arial" w:eastAsia="Times New Roman" w:hAnsi="Arial"/>
                <w:i/>
                <w:iCs/>
                <w:sz w:val="18"/>
                <w:szCs w:val="14"/>
                <w:lang w:eastAsia="en-GB"/>
              </w:rPr>
            </w:pPr>
            <w:r w:rsidRPr="002C3BA7">
              <w:rPr>
                <w:rFonts w:ascii="Arial" w:eastAsia="Times New Roman" w:hAnsi="Arial"/>
                <w:i/>
                <w:iCs/>
                <w:sz w:val="18"/>
                <w:szCs w:val="14"/>
                <w:lang w:eastAsia="en-GB"/>
              </w:rPr>
              <w:t xml:space="preserve">2.4. Applicable MPR for FR2 UL CA with DL intra band CA </w:t>
            </w:r>
          </w:p>
          <w:p w14:paraId="1E0CB910" w14:textId="77777777" w:rsidR="002C3BA7" w:rsidRPr="002C3BA7" w:rsidRDefault="002C3BA7" w:rsidP="002C3BA7">
            <w:pPr>
              <w:rPr>
                <w:rFonts w:eastAsia="Times New Roman"/>
                <w:b/>
                <w:i/>
                <w:iCs/>
                <w:sz w:val="18"/>
                <w:szCs w:val="14"/>
                <w:lang w:eastAsia="zh-CN"/>
              </w:rPr>
            </w:pPr>
            <w:r w:rsidRPr="002C3BA7">
              <w:rPr>
                <w:rFonts w:eastAsia="Times New Roman"/>
                <w:b/>
                <w:i/>
                <w:iCs/>
                <w:sz w:val="18"/>
                <w:szCs w:val="14"/>
                <w:lang w:eastAsia="zh-CN"/>
              </w:rPr>
              <w:t>Way forward:</w:t>
            </w:r>
          </w:p>
          <w:p w14:paraId="69245F4B" w14:textId="77777777" w:rsidR="002C3BA7" w:rsidRPr="002C3BA7" w:rsidRDefault="002C3BA7" w:rsidP="002C3BA7">
            <w:pPr>
              <w:numPr>
                <w:ilvl w:val="0"/>
                <w:numId w:val="27"/>
              </w:numPr>
              <w:spacing w:after="120"/>
              <w:rPr>
                <w:rFonts w:eastAsia="Times New Roman"/>
                <w:i/>
                <w:iCs/>
                <w:sz w:val="18"/>
                <w:szCs w:val="14"/>
                <w:lang w:eastAsia="zh-CN"/>
              </w:rPr>
            </w:pPr>
            <w:r w:rsidRPr="002C3BA7">
              <w:rPr>
                <w:i/>
                <w:iCs/>
                <w:sz w:val="18"/>
                <w:szCs w:val="14"/>
                <w:lang w:eastAsia="zh-CN"/>
              </w:rPr>
              <w:t xml:space="preserve">MPR based on </w:t>
            </w:r>
            <w:r w:rsidRPr="002C3BA7">
              <w:rPr>
                <w:rFonts w:eastAsia="Times New Roman"/>
                <w:i/>
                <w:iCs/>
                <w:sz w:val="18"/>
                <w:szCs w:val="14"/>
                <w:lang w:eastAsia="en-GB"/>
              </w:rPr>
              <w:t>UL BW</w:t>
            </w:r>
            <w:r w:rsidRPr="002C3BA7">
              <w:rPr>
                <w:rFonts w:eastAsia="Times New Roman"/>
                <w:i/>
                <w:iCs/>
                <w:sz w:val="18"/>
                <w:szCs w:val="14"/>
                <w:vertAlign w:val="subscript"/>
                <w:lang w:eastAsia="en-GB"/>
              </w:rPr>
              <w:t>channel_CA</w:t>
            </w:r>
            <w:r w:rsidRPr="002C3BA7">
              <w:rPr>
                <w:rFonts w:eastAsia="Times New Roman"/>
                <w:i/>
                <w:iCs/>
                <w:sz w:val="18"/>
                <w:szCs w:val="14"/>
                <w:lang w:eastAsia="en-GB"/>
              </w:rPr>
              <w:t xml:space="preserve"> applies instead that based on </w:t>
            </w:r>
            <w:r w:rsidRPr="002C3BA7">
              <w:rPr>
                <w:rFonts w:eastAsia="Times New Roman"/>
                <w:bCs/>
                <w:i/>
                <w:iCs/>
                <w:sz w:val="18"/>
                <w:szCs w:val="14"/>
                <w:lang w:eastAsia="en-GB"/>
              </w:rPr>
              <w:t>cumulative aggregated channel BW (CABW) wit</w:t>
            </w:r>
            <w:r w:rsidRPr="002C3BA7">
              <w:rPr>
                <w:rFonts w:eastAsiaTheme="minorEastAsia"/>
                <w:i/>
                <w:iCs/>
                <w:sz w:val="18"/>
                <w:szCs w:val="14"/>
                <w:lang w:eastAsia="zh-CN"/>
              </w:rPr>
              <w:t xml:space="preserve">h </w:t>
            </w:r>
            <w:r w:rsidRPr="002C3BA7">
              <w:rPr>
                <w:rFonts w:eastAsia="Times New Roman"/>
                <w:bCs/>
                <w:i/>
                <w:iCs/>
                <w:sz w:val="18"/>
                <w:szCs w:val="14"/>
                <w:lang w:eastAsia="en-GB"/>
              </w:rPr>
              <w:t xml:space="preserve">UE indication of new capability for MPR improvement </w:t>
            </w:r>
          </w:p>
          <w:p w14:paraId="3368C133" w14:textId="77777777" w:rsidR="002C3BA7" w:rsidRPr="002C3BA7" w:rsidRDefault="002C3BA7" w:rsidP="002C3BA7">
            <w:pPr>
              <w:numPr>
                <w:ilvl w:val="1"/>
                <w:numId w:val="27"/>
              </w:numPr>
              <w:rPr>
                <w:rFonts w:eastAsia="Times New Roman"/>
                <w:i/>
                <w:iCs/>
                <w:sz w:val="18"/>
                <w:szCs w:val="14"/>
                <w:lang w:eastAsia="zh-CN"/>
              </w:rPr>
            </w:pPr>
            <w:r w:rsidRPr="002C3BA7">
              <w:rPr>
                <w:rFonts w:eastAsiaTheme="minorEastAsia"/>
                <w:i/>
                <w:iCs/>
                <w:sz w:val="18"/>
                <w:szCs w:val="14"/>
                <w:lang w:eastAsia="zh-CN"/>
              </w:rPr>
              <w:t>If only 1 UL CC is activated, the MPR requirements of single carrier could be reused</w:t>
            </w:r>
          </w:p>
          <w:p w14:paraId="41AF25B0" w14:textId="54C88C28" w:rsidR="002C3BA7" w:rsidRPr="00DB4F3E" w:rsidRDefault="002C3BA7" w:rsidP="002C3BA7">
            <w:pPr>
              <w:numPr>
                <w:ilvl w:val="0"/>
                <w:numId w:val="27"/>
              </w:numPr>
              <w:spacing w:after="120"/>
              <w:rPr>
                <w:i/>
                <w:iCs/>
                <w:sz w:val="18"/>
                <w:szCs w:val="14"/>
                <w:lang w:val="sv-SE" w:eastAsia="ja-JP"/>
              </w:rPr>
            </w:pPr>
            <w:r w:rsidRPr="00DB4F3E">
              <w:rPr>
                <w:rFonts w:eastAsiaTheme="minorEastAsia"/>
                <w:i/>
                <w:iCs/>
                <w:sz w:val="18"/>
                <w:szCs w:val="14"/>
                <w:lang w:eastAsia="zh-CN"/>
              </w:rPr>
              <w:t xml:space="preserve">FFS </w:t>
            </w:r>
            <w:r w:rsidRPr="00DB4F3E">
              <w:rPr>
                <w:i/>
                <w:iCs/>
                <w:sz w:val="18"/>
                <w:szCs w:val="14"/>
                <w:lang w:eastAsia="zh-CN"/>
              </w:rPr>
              <w:t>whether</w:t>
            </w:r>
            <w:r w:rsidRPr="00DB4F3E">
              <w:rPr>
                <w:rFonts w:eastAsiaTheme="minorEastAsia"/>
                <w:i/>
                <w:iCs/>
                <w:sz w:val="18"/>
                <w:szCs w:val="14"/>
                <w:lang w:eastAsia="zh-CN"/>
              </w:rPr>
              <w:t xml:space="preserve"> new MPR requirement could be defined for CABW &lt; 400 MHz (e.g., 200 MHz).</w:t>
            </w:r>
          </w:p>
        </w:tc>
      </w:tr>
    </w:tbl>
    <w:p w14:paraId="5A620FE8" w14:textId="77777777" w:rsidR="002C3BA7" w:rsidRDefault="002C3BA7" w:rsidP="00642BC6">
      <w:pPr>
        <w:rPr>
          <w:lang w:val="sv-SE" w:eastAsia="ja-JP"/>
        </w:rPr>
      </w:pPr>
    </w:p>
    <w:p w14:paraId="07FCE93E" w14:textId="54F222C6" w:rsidR="009B2E9B" w:rsidRPr="008B7229" w:rsidRDefault="009B2E9B" w:rsidP="00642BC6">
      <w:pPr>
        <w:rPr>
          <w:lang w:val="sv-SE" w:eastAsia="ja-JP"/>
        </w:rPr>
      </w:pPr>
      <w:r>
        <w:rPr>
          <w:lang w:val="sv-SE" w:eastAsia="ja-JP"/>
        </w:rPr>
        <w:t>In this contribution, we continue discussing these issues and propose not to introduce new UE capability indicating MPR improvement for FR2 single UL carrier with DL intra-band CA, and hold on discussion on specifying new MPR requirement for CABW &lt; 400MHz unless the WID is updated.</w:t>
      </w:r>
    </w:p>
    <w:p w14:paraId="609286E5" w14:textId="522C2324" w:rsidR="00E80B52" w:rsidRDefault="008B7229" w:rsidP="00805BE8">
      <w:pPr>
        <w:pStyle w:val="Heading1"/>
        <w:rPr>
          <w:lang w:eastAsia="ja-JP"/>
        </w:rPr>
      </w:pPr>
      <w:r>
        <w:rPr>
          <w:lang w:eastAsia="ja-JP"/>
        </w:rPr>
        <w:t>Discussion</w:t>
      </w:r>
    </w:p>
    <w:p w14:paraId="171F3B64" w14:textId="539973C5" w:rsidR="008B7229" w:rsidRPr="00A8647A" w:rsidRDefault="007E2DBB" w:rsidP="00A8647A">
      <w:pPr>
        <w:pStyle w:val="Header"/>
        <w:spacing w:after="120"/>
        <w:rPr>
          <w:b w:val="0"/>
          <w:bCs/>
          <w:sz w:val="28"/>
          <w:szCs w:val="32"/>
          <w:lang w:val="sv-SE"/>
        </w:rPr>
      </w:pPr>
      <w:r w:rsidRPr="00A8647A">
        <w:rPr>
          <w:b w:val="0"/>
          <w:bCs/>
          <w:sz w:val="28"/>
          <w:szCs w:val="32"/>
          <w:lang w:val="sv-SE"/>
        </w:rPr>
        <w:t>2.1 MPR applicability for FR2 single UL carrier with DL intra-band CA</w:t>
      </w:r>
    </w:p>
    <w:p w14:paraId="125ACB33" w14:textId="3BB75CDA" w:rsidR="00416D91" w:rsidRPr="00416D91" w:rsidRDefault="00416D91" w:rsidP="00416D91">
      <w:pPr>
        <w:rPr>
          <w:lang w:val="sv-SE" w:eastAsia="ja-JP"/>
        </w:rPr>
      </w:pPr>
      <w:r>
        <w:rPr>
          <w:lang w:val="sv-SE" w:eastAsia="ja-JP"/>
        </w:rPr>
        <w:t>RAN4 has agreed that for the case of single carrier UL with DL intra-band CA, the MPR requirements of single carrier case in clause 6.2.2 of TS 38.101-2 applies with UE indication of new capability for MPR improvement. However, i</w:t>
      </w:r>
      <w:r w:rsidRPr="00416D91">
        <w:rPr>
          <w:lang w:val="sv-SE" w:eastAsia="ja-JP"/>
        </w:rPr>
        <w:t xml:space="preserve">n the context of FR2 intra-band </w:t>
      </w:r>
      <w:r>
        <w:rPr>
          <w:lang w:val="sv-SE" w:eastAsia="ja-JP"/>
        </w:rPr>
        <w:t>CA</w:t>
      </w:r>
      <w:r w:rsidRPr="00416D91">
        <w:rPr>
          <w:lang w:val="sv-SE" w:eastAsia="ja-JP"/>
        </w:rPr>
        <w:t xml:space="preserve">, </w:t>
      </w:r>
      <w:r>
        <w:rPr>
          <w:lang w:val="sv-SE" w:eastAsia="ja-JP"/>
        </w:rPr>
        <w:t>such a</w:t>
      </w:r>
      <w:r w:rsidRPr="00416D91">
        <w:rPr>
          <w:lang w:val="sv-SE" w:eastAsia="ja-JP"/>
        </w:rPr>
        <w:t xml:space="preserve"> capable UE is </w:t>
      </w:r>
      <w:r>
        <w:rPr>
          <w:lang w:val="sv-SE" w:eastAsia="ja-JP"/>
        </w:rPr>
        <w:t xml:space="preserve">usually </w:t>
      </w:r>
      <w:r w:rsidRPr="00416D91">
        <w:rPr>
          <w:lang w:val="sv-SE" w:eastAsia="ja-JP"/>
        </w:rPr>
        <w:t>designed to manage its transmit power efficiently across the aggregated carriers without requiring additional network intervention for MPR adjustments. The UE's built-in capabilities allow it to meet the necessary power limits and out-of-band emission requirements autonomously. This design ensures that the UE can maintain optimal performance and compliance with regulatory standards while minimizing interference with adjacent channels.</w:t>
      </w:r>
    </w:p>
    <w:p w14:paraId="55F260F4" w14:textId="50F3780E" w:rsidR="007E2DBB" w:rsidRDefault="00416D91" w:rsidP="00416D91">
      <w:pPr>
        <w:rPr>
          <w:lang w:val="sv-SE" w:eastAsia="ja-JP"/>
        </w:rPr>
      </w:pPr>
      <w:r w:rsidRPr="00416D91">
        <w:rPr>
          <w:lang w:val="sv-SE" w:eastAsia="ja-JP"/>
        </w:rPr>
        <w:t xml:space="preserve">As a result, network-side configurations to enable MPR improvement become redundant for these UEs. The network does not need to implement specific measures to </w:t>
      </w:r>
      <w:r>
        <w:rPr>
          <w:lang w:val="sv-SE" w:eastAsia="ja-JP"/>
        </w:rPr>
        <w:t>control</w:t>
      </w:r>
      <w:r w:rsidRPr="00416D91">
        <w:rPr>
          <w:lang w:val="sv-SE" w:eastAsia="ja-JP"/>
        </w:rPr>
        <w:t xml:space="preserve"> the UE's transmission power, as the UE can handle these adjustments independently</w:t>
      </w:r>
      <w:r>
        <w:rPr>
          <w:lang w:val="sv-SE" w:eastAsia="ja-JP"/>
        </w:rPr>
        <w:t>, and can already be reflected by PHR reporting etc</w:t>
      </w:r>
      <w:r w:rsidRPr="00416D91">
        <w:rPr>
          <w:lang w:val="sv-SE" w:eastAsia="ja-JP"/>
        </w:rPr>
        <w:t>. This autonomy simplifies the network's management of UEs and helps in maintaining overall system efficiency.</w:t>
      </w:r>
    </w:p>
    <w:p w14:paraId="7FBB6736" w14:textId="4D60BE24" w:rsidR="00416D91" w:rsidRPr="00416D91" w:rsidRDefault="00416D91" w:rsidP="00416D91">
      <w:pPr>
        <w:rPr>
          <w:b/>
          <w:bCs/>
          <w:lang w:val="sv-SE" w:eastAsia="ja-JP"/>
        </w:rPr>
      </w:pPr>
      <w:r w:rsidRPr="00416D91">
        <w:rPr>
          <w:b/>
          <w:bCs/>
          <w:lang w:val="sv-SE" w:eastAsia="ja-JP"/>
        </w:rPr>
        <w:t>Proposal 1: Network does not need to enable the MPR improvement originating from the application of MPR requirements for single UL carrier</w:t>
      </w:r>
      <w:r w:rsidR="00B63346">
        <w:rPr>
          <w:b/>
          <w:bCs/>
          <w:lang w:val="sv-SE" w:eastAsia="ja-JP"/>
        </w:rPr>
        <w:t xml:space="preserve"> if there is no other particular reason</w:t>
      </w:r>
      <w:r w:rsidRPr="00416D91">
        <w:rPr>
          <w:b/>
          <w:bCs/>
          <w:lang w:val="sv-SE" w:eastAsia="ja-JP"/>
        </w:rPr>
        <w:t xml:space="preserve">, hence, there is no need to introduce a new UE capability for </w:t>
      </w:r>
      <w:r w:rsidR="00B63346">
        <w:rPr>
          <w:b/>
          <w:bCs/>
          <w:lang w:val="sv-SE" w:eastAsia="ja-JP"/>
        </w:rPr>
        <w:t>such</w:t>
      </w:r>
      <w:r w:rsidRPr="00416D91">
        <w:rPr>
          <w:b/>
          <w:bCs/>
          <w:lang w:val="sv-SE" w:eastAsia="ja-JP"/>
        </w:rPr>
        <w:t xml:space="preserve"> MPR improvement.</w:t>
      </w:r>
    </w:p>
    <w:p w14:paraId="7FC36104" w14:textId="77777777" w:rsidR="007E2DBB" w:rsidRDefault="007E2DBB" w:rsidP="008B7229">
      <w:pPr>
        <w:rPr>
          <w:lang w:val="sv-SE" w:eastAsia="ja-JP"/>
        </w:rPr>
      </w:pPr>
    </w:p>
    <w:p w14:paraId="61E7BBBE" w14:textId="66610546" w:rsidR="007E2DBB" w:rsidRPr="00A8647A" w:rsidRDefault="007E2DBB" w:rsidP="00A8647A">
      <w:pPr>
        <w:pStyle w:val="Header"/>
        <w:spacing w:after="120"/>
        <w:rPr>
          <w:b w:val="0"/>
          <w:bCs/>
          <w:sz w:val="28"/>
          <w:szCs w:val="32"/>
          <w:lang w:val="sv-SE"/>
        </w:rPr>
      </w:pPr>
      <w:r w:rsidRPr="00A8647A">
        <w:rPr>
          <w:b w:val="0"/>
          <w:bCs/>
          <w:sz w:val="28"/>
          <w:szCs w:val="32"/>
          <w:lang w:val="sv-SE"/>
        </w:rPr>
        <w:t>2.2 MPR applicability for FR2 UL intra-band CA with DL intra-band CA</w:t>
      </w:r>
    </w:p>
    <w:p w14:paraId="1B359937" w14:textId="1BB35257" w:rsidR="00B63346" w:rsidRDefault="00B63346" w:rsidP="008B7229">
      <w:pPr>
        <w:rPr>
          <w:lang w:val="sv-SE" w:eastAsia="ja-JP"/>
        </w:rPr>
      </w:pPr>
      <w:r>
        <w:rPr>
          <w:lang w:val="sv-SE" w:eastAsia="ja-JP"/>
        </w:rPr>
        <w:t>Similar consideration can be applicable for MPR improvement by changing BW basis from CABW to UL BWchannel_CA.</w:t>
      </w:r>
    </w:p>
    <w:p w14:paraId="16150A95" w14:textId="5D8C6A9E" w:rsidR="00B63346" w:rsidRDefault="00B63346" w:rsidP="008B7229">
      <w:pPr>
        <w:rPr>
          <w:lang w:val="sv-SE" w:eastAsia="ja-JP"/>
        </w:rPr>
      </w:pPr>
      <w:r w:rsidRPr="00416D91">
        <w:rPr>
          <w:b/>
          <w:bCs/>
          <w:lang w:val="sv-SE" w:eastAsia="ja-JP"/>
        </w:rPr>
        <w:t xml:space="preserve">Proposal </w:t>
      </w:r>
      <w:r>
        <w:rPr>
          <w:b/>
          <w:bCs/>
          <w:lang w:val="sv-SE" w:eastAsia="ja-JP"/>
        </w:rPr>
        <w:t>2</w:t>
      </w:r>
      <w:r w:rsidRPr="00416D91">
        <w:rPr>
          <w:b/>
          <w:bCs/>
          <w:lang w:val="sv-SE" w:eastAsia="ja-JP"/>
        </w:rPr>
        <w:t xml:space="preserve">: Network does not need to enable the MPR improvement originating from </w:t>
      </w:r>
      <w:r>
        <w:rPr>
          <w:b/>
          <w:bCs/>
          <w:lang w:val="sv-SE" w:eastAsia="ja-JP"/>
        </w:rPr>
        <w:t>changing the BW basis from CABW to UL BWchannel_CA if there is no other particular reason</w:t>
      </w:r>
      <w:r w:rsidRPr="00416D91">
        <w:rPr>
          <w:b/>
          <w:bCs/>
          <w:lang w:val="sv-SE" w:eastAsia="ja-JP"/>
        </w:rPr>
        <w:t xml:space="preserve">, hence, there is no need to introduce a new UE capability for </w:t>
      </w:r>
      <w:r>
        <w:rPr>
          <w:b/>
          <w:bCs/>
          <w:lang w:val="sv-SE" w:eastAsia="ja-JP"/>
        </w:rPr>
        <w:t>such</w:t>
      </w:r>
      <w:r w:rsidRPr="00416D91">
        <w:rPr>
          <w:b/>
          <w:bCs/>
          <w:lang w:val="sv-SE" w:eastAsia="ja-JP"/>
        </w:rPr>
        <w:t xml:space="preserve"> MPR improvement.</w:t>
      </w:r>
    </w:p>
    <w:p w14:paraId="53C71093" w14:textId="19924389" w:rsidR="00A251FC" w:rsidRDefault="009B2E9B" w:rsidP="008B7229">
      <w:pPr>
        <w:rPr>
          <w:lang w:val="sv-SE" w:eastAsia="ja-JP"/>
        </w:rPr>
      </w:pPr>
      <w:r w:rsidRPr="009B2E9B">
        <w:rPr>
          <w:lang w:val="sv-SE" w:eastAsia="ja-JP"/>
        </w:rPr>
        <w:t xml:space="preserve">According to the most recent revision of the WID for this Rel-19 Work Item, the </w:t>
      </w:r>
      <w:r>
        <w:rPr>
          <w:lang w:val="sv-SE" w:eastAsia="ja-JP"/>
        </w:rPr>
        <w:t>objective</w:t>
      </w:r>
      <w:r w:rsidRPr="009B2E9B">
        <w:rPr>
          <w:lang w:val="sv-SE" w:eastAsia="ja-JP"/>
        </w:rPr>
        <w:t xml:space="preserve"> concerning MPR applicability for FR2 intra-band CA is outlined as follows</w:t>
      </w:r>
      <w:r>
        <w:rPr>
          <w:lang w:val="sv-SE" w:eastAsia="ja-JP"/>
        </w:rPr>
        <w:t xml:space="preserve"> [2]:</w:t>
      </w:r>
    </w:p>
    <w:tbl>
      <w:tblPr>
        <w:tblStyle w:val="TableGrid"/>
        <w:tblW w:w="0" w:type="auto"/>
        <w:tblLook w:val="04A0" w:firstRow="1" w:lastRow="0" w:firstColumn="1" w:lastColumn="0" w:noHBand="0" w:noVBand="1"/>
      </w:tblPr>
      <w:tblGrid>
        <w:gridCol w:w="9631"/>
      </w:tblGrid>
      <w:tr w:rsidR="00472D26" w:rsidRPr="00472D26" w14:paraId="4FC7F030" w14:textId="77777777" w:rsidTr="00472D26">
        <w:tc>
          <w:tcPr>
            <w:tcW w:w="9631" w:type="dxa"/>
          </w:tcPr>
          <w:p w14:paraId="1DB9B814" w14:textId="77777777" w:rsidR="00472D26" w:rsidRPr="00472D26" w:rsidRDefault="00472D26" w:rsidP="00472D26">
            <w:pPr>
              <w:pStyle w:val="ListParagraph"/>
              <w:widowControl w:val="0"/>
              <w:numPr>
                <w:ilvl w:val="0"/>
                <w:numId w:val="28"/>
              </w:numPr>
              <w:overflowPunct/>
              <w:autoSpaceDE/>
              <w:autoSpaceDN/>
              <w:adjustRightInd/>
              <w:spacing w:after="0"/>
              <w:ind w:firstLineChars="0"/>
              <w:jc w:val="both"/>
              <w:textAlignment w:val="auto"/>
              <w:rPr>
                <w:i/>
                <w:iCs/>
              </w:rPr>
            </w:pPr>
            <w:r w:rsidRPr="00472D26">
              <w:rPr>
                <w:i/>
                <w:iCs/>
              </w:rPr>
              <w:t>Specify MPR applicability based on the UL CCs with activated cells for NR intra-band UL CA configuration</w:t>
            </w:r>
          </w:p>
          <w:p w14:paraId="78D79754" w14:textId="77777777" w:rsidR="00472D26" w:rsidRPr="00472D26" w:rsidRDefault="00472D26" w:rsidP="00472D26">
            <w:pPr>
              <w:pStyle w:val="ListParagraph"/>
              <w:widowControl w:val="0"/>
              <w:numPr>
                <w:ilvl w:val="1"/>
                <w:numId w:val="28"/>
              </w:numPr>
              <w:overflowPunct/>
              <w:autoSpaceDE/>
              <w:autoSpaceDN/>
              <w:adjustRightInd/>
              <w:spacing w:after="0"/>
              <w:ind w:firstLineChars="0"/>
              <w:jc w:val="both"/>
              <w:textAlignment w:val="auto"/>
              <w:rPr>
                <w:i/>
                <w:iCs/>
              </w:rPr>
            </w:pPr>
            <w:r w:rsidRPr="00472D26">
              <w:rPr>
                <w:rFonts w:hint="eastAsia"/>
                <w:i/>
                <w:iCs/>
              </w:rPr>
              <w:t xml:space="preserve">Include both intra-band UL </w:t>
            </w:r>
            <w:r w:rsidRPr="00472D26">
              <w:rPr>
                <w:i/>
                <w:iCs/>
              </w:rPr>
              <w:t>contiguous</w:t>
            </w:r>
            <w:r w:rsidRPr="00472D26">
              <w:rPr>
                <w:rFonts w:hint="eastAsia"/>
                <w:i/>
                <w:iCs/>
              </w:rPr>
              <w:t xml:space="preserve"> </w:t>
            </w:r>
            <w:r w:rsidRPr="00472D26">
              <w:rPr>
                <w:i/>
                <w:iCs/>
              </w:rPr>
              <w:t>CA and intra-band non-contiguous UL CA for FR1</w:t>
            </w:r>
          </w:p>
          <w:p w14:paraId="01D556F9" w14:textId="77777777" w:rsidR="00472D26" w:rsidRPr="00472D26" w:rsidRDefault="00472D26" w:rsidP="00472D26">
            <w:pPr>
              <w:pStyle w:val="ListParagraph"/>
              <w:widowControl w:val="0"/>
              <w:numPr>
                <w:ilvl w:val="1"/>
                <w:numId w:val="28"/>
              </w:numPr>
              <w:overflowPunct/>
              <w:autoSpaceDE/>
              <w:autoSpaceDN/>
              <w:adjustRightInd/>
              <w:spacing w:after="0"/>
              <w:ind w:firstLineChars="0"/>
              <w:jc w:val="both"/>
              <w:textAlignment w:val="auto"/>
              <w:rPr>
                <w:i/>
                <w:iCs/>
              </w:rPr>
            </w:pPr>
            <w:r w:rsidRPr="00472D26">
              <w:rPr>
                <w:i/>
                <w:iCs/>
              </w:rPr>
              <w:t>Include intra-band UL contiguous CA and intra-band DL contiguous CA with single UL for FR2</w:t>
            </w:r>
          </w:p>
          <w:p w14:paraId="15148891" w14:textId="1AD2271A" w:rsidR="00472D26" w:rsidRPr="00472D26" w:rsidRDefault="00472D26" w:rsidP="00472D26">
            <w:pPr>
              <w:pStyle w:val="ListParagraph"/>
              <w:widowControl w:val="0"/>
              <w:numPr>
                <w:ilvl w:val="1"/>
                <w:numId w:val="28"/>
              </w:numPr>
              <w:overflowPunct/>
              <w:autoSpaceDE/>
              <w:autoSpaceDN/>
              <w:adjustRightInd/>
              <w:spacing w:after="0"/>
              <w:ind w:firstLineChars="0"/>
              <w:jc w:val="both"/>
              <w:textAlignment w:val="auto"/>
              <w:rPr>
                <w:i/>
                <w:iCs/>
              </w:rPr>
            </w:pPr>
            <w:r w:rsidRPr="00472D26">
              <w:rPr>
                <w:i/>
                <w:iCs/>
              </w:rPr>
              <w:t>MPR requirement is not applicable until the SCell is activated</w:t>
            </w:r>
          </w:p>
        </w:tc>
      </w:tr>
    </w:tbl>
    <w:p w14:paraId="6DD5E546" w14:textId="77777777" w:rsidR="00472D26" w:rsidRDefault="00472D26" w:rsidP="008B7229">
      <w:pPr>
        <w:rPr>
          <w:lang w:val="sv-SE" w:eastAsia="ja-JP"/>
        </w:rPr>
      </w:pPr>
    </w:p>
    <w:p w14:paraId="65EEB7F2" w14:textId="630B0D6A" w:rsidR="008B7229" w:rsidRDefault="009B2E9B" w:rsidP="008B7229">
      <w:pPr>
        <w:rPr>
          <w:lang w:val="sv-SE" w:eastAsia="ja-JP"/>
        </w:rPr>
      </w:pPr>
      <w:r>
        <w:rPr>
          <w:lang w:val="sv-SE" w:eastAsia="ja-JP"/>
        </w:rPr>
        <w:t>As also pointed out by Moderator in previous discussions, the objective only involves MPR applicability, not new MPR requirements, therefore, we propose to hold on discussions on whether new MPR requirement is defined for CABW &lt; 400MHz unless the WID can be updated accordingly.</w:t>
      </w:r>
    </w:p>
    <w:p w14:paraId="58A45E66" w14:textId="5C640A40" w:rsidR="009B2E9B" w:rsidRPr="00244D8D" w:rsidRDefault="009B2E9B" w:rsidP="008B7229">
      <w:pPr>
        <w:rPr>
          <w:b/>
          <w:bCs/>
          <w:lang w:val="sv-SE" w:eastAsia="ja-JP"/>
        </w:rPr>
      </w:pPr>
      <w:r w:rsidRPr="00244D8D">
        <w:rPr>
          <w:b/>
          <w:bCs/>
          <w:lang w:val="sv-SE" w:eastAsia="ja-JP"/>
        </w:rPr>
        <w:t xml:space="preserve">Proposal </w:t>
      </w:r>
      <w:r w:rsidR="00244D8D" w:rsidRPr="00244D8D">
        <w:rPr>
          <w:b/>
          <w:bCs/>
          <w:lang w:val="sv-SE" w:eastAsia="ja-JP"/>
        </w:rPr>
        <w:t>3</w:t>
      </w:r>
      <w:r w:rsidRPr="00244D8D">
        <w:rPr>
          <w:b/>
          <w:bCs/>
          <w:lang w:val="sv-SE" w:eastAsia="ja-JP"/>
        </w:rPr>
        <w:t>: Hold on discussions on whether new MPR requirement is defined for CABW &lt; 400MHz unless the WID can be updated accordingly.</w:t>
      </w:r>
    </w:p>
    <w:p w14:paraId="0EF0B9CE" w14:textId="6BC7660F" w:rsidR="00923222" w:rsidRDefault="00923222" w:rsidP="00923222">
      <w:pPr>
        <w:pStyle w:val="Heading1"/>
        <w:rPr>
          <w:lang w:eastAsia="ja-JP"/>
        </w:rPr>
      </w:pPr>
      <w:r>
        <w:rPr>
          <w:lang w:eastAsia="ja-JP"/>
        </w:rPr>
        <w:t>Conclusion</w:t>
      </w:r>
    </w:p>
    <w:p w14:paraId="1DD94B9D" w14:textId="7F600BEA" w:rsidR="00923222" w:rsidRDefault="003A6827" w:rsidP="008B7229">
      <w:pPr>
        <w:rPr>
          <w:lang w:val="sv-SE" w:eastAsia="ja-JP"/>
        </w:rPr>
      </w:pPr>
      <w:r>
        <w:rPr>
          <w:lang w:val="sv-SE" w:eastAsia="ja-JP"/>
        </w:rPr>
        <w:t>In this contribution, we have the following proposals for MPR applicability for FR2 intra-band CA:</w:t>
      </w:r>
    </w:p>
    <w:p w14:paraId="3FD4BFB4" w14:textId="16DD4F9F" w:rsidR="003A6827" w:rsidRDefault="003A6827" w:rsidP="008B7229">
      <w:pPr>
        <w:rPr>
          <w:lang w:val="sv-SE" w:eastAsia="ja-JP"/>
        </w:rPr>
      </w:pPr>
      <w:r w:rsidRPr="00416D91">
        <w:rPr>
          <w:b/>
          <w:bCs/>
          <w:lang w:val="sv-SE" w:eastAsia="ja-JP"/>
        </w:rPr>
        <w:t>Proposal 1: Network does not need to enable the MPR improvement originating from the application of MPR requirements for single UL carrier</w:t>
      </w:r>
      <w:r>
        <w:rPr>
          <w:b/>
          <w:bCs/>
          <w:lang w:val="sv-SE" w:eastAsia="ja-JP"/>
        </w:rPr>
        <w:t xml:space="preserve"> if there is no other particular reason</w:t>
      </w:r>
      <w:r w:rsidRPr="00416D91">
        <w:rPr>
          <w:b/>
          <w:bCs/>
          <w:lang w:val="sv-SE" w:eastAsia="ja-JP"/>
        </w:rPr>
        <w:t xml:space="preserve">, hence, there is no need to introduce a new UE capability for </w:t>
      </w:r>
      <w:r>
        <w:rPr>
          <w:b/>
          <w:bCs/>
          <w:lang w:val="sv-SE" w:eastAsia="ja-JP"/>
        </w:rPr>
        <w:t>such</w:t>
      </w:r>
      <w:r w:rsidRPr="00416D91">
        <w:rPr>
          <w:b/>
          <w:bCs/>
          <w:lang w:val="sv-SE" w:eastAsia="ja-JP"/>
        </w:rPr>
        <w:t xml:space="preserve"> MPR improvement.</w:t>
      </w:r>
    </w:p>
    <w:p w14:paraId="2BCEA682" w14:textId="723917D7" w:rsidR="00923222" w:rsidRDefault="003A6827" w:rsidP="008B7229">
      <w:pPr>
        <w:rPr>
          <w:b/>
          <w:bCs/>
          <w:lang w:val="sv-SE" w:eastAsia="ja-JP"/>
        </w:rPr>
      </w:pPr>
      <w:r w:rsidRPr="00416D91">
        <w:rPr>
          <w:b/>
          <w:bCs/>
          <w:lang w:val="sv-SE" w:eastAsia="ja-JP"/>
        </w:rPr>
        <w:t xml:space="preserve">Proposal </w:t>
      </w:r>
      <w:r>
        <w:rPr>
          <w:b/>
          <w:bCs/>
          <w:lang w:val="sv-SE" w:eastAsia="ja-JP"/>
        </w:rPr>
        <w:t>2</w:t>
      </w:r>
      <w:r w:rsidRPr="00416D91">
        <w:rPr>
          <w:b/>
          <w:bCs/>
          <w:lang w:val="sv-SE" w:eastAsia="ja-JP"/>
        </w:rPr>
        <w:t xml:space="preserve">: Network does not need to enable the MPR improvement originating from </w:t>
      </w:r>
      <w:r>
        <w:rPr>
          <w:b/>
          <w:bCs/>
          <w:lang w:val="sv-SE" w:eastAsia="ja-JP"/>
        </w:rPr>
        <w:t>changing the BW basis from CABW to UL BWchannel_CA if there is no other particular reason</w:t>
      </w:r>
      <w:r w:rsidRPr="00416D91">
        <w:rPr>
          <w:b/>
          <w:bCs/>
          <w:lang w:val="sv-SE" w:eastAsia="ja-JP"/>
        </w:rPr>
        <w:t xml:space="preserve">, hence, there is no need to introduce a new UE capability for </w:t>
      </w:r>
      <w:r>
        <w:rPr>
          <w:b/>
          <w:bCs/>
          <w:lang w:val="sv-SE" w:eastAsia="ja-JP"/>
        </w:rPr>
        <w:t>such</w:t>
      </w:r>
      <w:r w:rsidRPr="00416D91">
        <w:rPr>
          <w:b/>
          <w:bCs/>
          <w:lang w:val="sv-SE" w:eastAsia="ja-JP"/>
        </w:rPr>
        <w:t xml:space="preserve"> MPR improvement.</w:t>
      </w:r>
    </w:p>
    <w:p w14:paraId="2C0C0D3F" w14:textId="6DE304F4" w:rsidR="003A6827" w:rsidRDefault="003A6827" w:rsidP="008B7229">
      <w:pPr>
        <w:rPr>
          <w:lang w:val="sv-SE" w:eastAsia="ja-JP"/>
        </w:rPr>
      </w:pPr>
      <w:r w:rsidRPr="00244D8D">
        <w:rPr>
          <w:b/>
          <w:bCs/>
          <w:lang w:val="sv-SE" w:eastAsia="ja-JP"/>
        </w:rPr>
        <w:t>Proposal 3: Hold on discussions on whether new MPR requirement is defined for CABW &lt; 400MHz unless the WID can be updated accordingly.</w:t>
      </w:r>
    </w:p>
    <w:p w14:paraId="11F2B815" w14:textId="2F899EA8" w:rsidR="00923222" w:rsidRDefault="00923222" w:rsidP="00CD424F">
      <w:pPr>
        <w:pStyle w:val="Heading1"/>
        <w:numPr>
          <w:ilvl w:val="0"/>
          <w:numId w:val="0"/>
        </w:numPr>
        <w:rPr>
          <w:lang w:eastAsia="ja-JP"/>
        </w:rPr>
      </w:pPr>
      <w:r>
        <w:rPr>
          <w:lang w:eastAsia="ja-JP"/>
        </w:rPr>
        <w:t>Reference</w:t>
      </w:r>
    </w:p>
    <w:p w14:paraId="230509F3" w14:textId="3C7FCC85" w:rsidR="00CD424F" w:rsidRDefault="00CD424F" w:rsidP="00CD424F">
      <w:pPr>
        <w:rPr>
          <w:lang w:val="sv-SE" w:eastAsia="ja-JP"/>
        </w:rPr>
      </w:pPr>
      <w:r>
        <w:rPr>
          <w:lang w:val="sv-SE" w:eastAsia="ja-JP"/>
        </w:rPr>
        <w:t xml:space="preserve">[1] </w:t>
      </w:r>
      <w:r w:rsidR="002B55FC">
        <w:rPr>
          <w:lang w:val="sv-SE" w:eastAsia="ja-JP"/>
        </w:rPr>
        <w:t>R4-2410749, ”</w:t>
      </w:r>
      <w:r w:rsidR="002B55FC" w:rsidRPr="002B55FC">
        <w:rPr>
          <w:lang w:val="sv-SE" w:eastAsia="ja-JP"/>
        </w:rPr>
        <w:t>WF on power domain enhancements</w:t>
      </w:r>
      <w:r w:rsidR="002B55FC">
        <w:rPr>
          <w:lang w:val="sv-SE" w:eastAsia="ja-JP"/>
        </w:rPr>
        <w:t>”, Huawei/HiSilicon</w:t>
      </w:r>
    </w:p>
    <w:p w14:paraId="11BBCFB2" w14:textId="39A26109" w:rsidR="00472D26" w:rsidRDefault="00472D26" w:rsidP="00CD424F">
      <w:pPr>
        <w:rPr>
          <w:lang w:val="sv-SE" w:eastAsia="ja-JP"/>
        </w:rPr>
      </w:pPr>
      <w:r>
        <w:rPr>
          <w:lang w:val="sv-SE" w:eastAsia="ja-JP"/>
        </w:rPr>
        <w:t>[2] RP-241656, ”</w:t>
      </w:r>
      <w:r w:rsidRPr="00472D26">
        <w:t xml:space="preserve"> </w:t>
      </w:r>
      <w:r>
        <w:rPr>
          <w:lang w:val="sv-SE" w:eastAsia="ja-JP"/>
        </w:rPr>
        <w:t>Revised</w:t>
      </w:r>
      <w:r w:rsidRPr="00472D26">
        <w:rPr>
          <w:lang w:val="sv-SE" w:eastAsia="ja-JP"/>
        </w:rPr>
        <w:t xml:space="preserve"> WID: UE RF enhancements for NR FR1/FR2 and EN-DC, Phase 4</w:t>
      </w:r>
      <w:r>
        <w:rPr>
          <w:lang w:val="sv-SE" w:eastAsia="ja-JP"/>
        </w:rPr>
        <w:t>”, Huawei/HiSilicon</w:t>
      </w: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543CC" w14:textId="77777777" w:rsidR="001C5AAE" w:rsidRDefault="001C5AAE">
      <w:r>
        <w:separator/>
      </w:r>
    </w:p>
  </w:endnote>
  <w:endnote w:type="continuationSeparator" w:id="0">
    <w:p w14:paraId="205A91A1" w14:textId="77777777" w:rsidR="001C5AAE" w:rsidRDefault="001C5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822B0" w14:textId="77777777" w:rsidR="001C5AAE" w:rsidRDefault="001C5AAE">
      <w:r>
        <w:separator/>
      </w:r>
    </w:p>
  </w:footnote>
  <w:footnote w:type="continuationSeparator" w:id="0">
    <w:p w14:paraId="04FE6B4D" w14:textId="77777777" w:rsidR="001C5AAE" w:rsidRDefault="001C5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7"/>
  </w:num>
  <w:num w:numId="3" w16cid:durableId="845053056">
    <w:abstractNumId w:val="12"/>
  </w:num>
  <w:num w:numId="4" w16cid:durableId="574896988">
    <w:abstractNumId w:val="10"/>
  </w:num>
  <w:num w:numId="5" w16cid:durableId="1797749362">
    <w:abstractNumId w:val="9"/>
  </w:num>
  <w:num w:numId="6" w16cid:durableId="899943885">
    <w:abstractNumId w:val="9"/>
  </w:num>
  <w:num w:numId="7" w16cid:durableId="1512796906">
    <w:abstractNumId w:val="9"/>
  </w:num>
  <w:num w:numId="8" w16cid:durableId="203450138">
    <w:abstractNumId w:val="9"/>
  </w:num>
  <w:num w:numId="9" w16cid:durableId="158355102">
    <w:abstractNumId w:val="9"/>
  </w:num>
  <w:num w:numId="10" w16cid:durableId="1628313981">
    <w:abstractNumId w:val="9"/>
  </w:num>
  <w:num w:numId="11" w16cid:durableId="121701034">
    <w:abstractNumId w:val="9"/>
  </w:num>
  <w:num w:numId="12" w16cid:durableId="1903825637">
    <w:abstractNumId w:val="9"/>
  </w:num>
  <w:num w:numId="13" w16cid:durableId="27722345">
    <w:abstractNumId w:val="9"/>
  </w:num>
  <w:num w:numId="14" w16cid:durableId="1978800360">
    <w:abstractNumId w:val="9"/>
  </w:num>
  <w:num w:numId="15" w16cid:durableId="728382646">
    <w:abstractNumId w:val="9"/>
  </w:num>
  <w:num w:numId="16" w16cid:durableId="2009285576">
    <w:abstractNumId w:val="9"/>
  </w:num>
  <w:num w:numId="17" w16cid:durableId="520776209">
    <w:abstractNumId w:val="6"/>
  </w:num>
  <w:num w:numId="18" w16cid:durableId="1890874967">
    <w:abstractNumId w:val="5"/>
  </w:num>
  <w:num w:numId="19" w16cid:durableId="151794773">
    <w:abstractNumId w:val="3"/>
  </w:num>
  <w:num w:numId="20" w16cid:durableId="1473786642">
    <w:abstractNumId w:val="1"/>
  </w:num>
  <w:num w:numId="21" w16cid:durableId="895970569">
    <w:abstractNumId w:val="9"/>
  </w:num>
  <w:num w:numId="22" w16cid:durableId="1637685187">
    <w:abstractNumId w:val="9"/>
  </w:num>
  <w:num w:numId="23" w16cid:durableId="1282683033">
    <w:abstractNumId w:val="8"/>
  </w:num>
  <w:num w:numId="24" w16cid:durableId="122814890">
    <w:abstractNumId w:val="9"/>
  </w:num>
  <w:num w:numId="25" w16cid:durableId="1970238205">
    <w:abstractNumId w:val="9"/>
  </w:num>
  <w:num w:numId="26" w16cid:durableId="1070273695">
    <w:abstractNumId w:val="4"/>
  </w:num>
  <w:num w:numId="27" w16cid:durableId="776019711">
    <w:abstractNumId w:val="11"/>
  </w:num>
  <w:num w:numId="28" w16cid:durableId="167557441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5AAE"/>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4832"/>
    <w:rsid w:val="00235394"/>
    <w:rsid w:val="00235577"/>
    <w:rsid w:val="002371B2"/>
    <w:rsid w:val="002435CA"/>
    <w:rsid w:val="0024469F"/>
    <w:rsid w:val="00244D8D"/>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5FC"/>
    <w:rsid w:val="002B5E1D"/>
    <w:rsid w:val="002B60C1"/>
    <w:rsid w:val="002C3BA7"/>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6B2"/>
    <w:rsid w:val="00367724"/>
    <w:rsid w:val="003710BA"/>
    <w:rsid w:val="003770F6"/>
    <w:rsid w:val="00383E37"/>
    <w:rsid w:val="00393042"/>
    <w:rsid w:val="00394AD5"/>
    <w:rsid w:val="0039642D"/>
    <w:rsid w:val="003A2B9E"/>
    <w:rsid w:val="003A2DA0"/>
    <w:rsid w:val="003A2E40"/>
    <w:rsid w:val="003A6827"/>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16D91"/>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2D26"/>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1C08"/>
    <w:rsid w:val="006144A1"/>
    <w:rsid w:val="00615EBB"/>
    <w:rsid w:val="00616096"/>
    <w:rsid w:val="006160A2"/>
    <w:rsid w:val="006176B4"/>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67A2A"/>
    <w:rsid w:val="00771DBD"/>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DBB"/>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024"/>
    <w:rsid w:val="008A1FBE"/>
    <w:rsid w:val="008A51C9"/>
    <w:rsid w:val="008B3194"/>
    <w:rsid w:val="008B5AE7"/>
    <w:rsid w:val="008B7229"/>
    <w:rsid w:val="008C2DD0"/>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2E9B"/>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251FC"/>
    <w:rsid w:val="00A33DDF"/>
    <w:rsid w:val="00A34547"/>
    <w:rsid w:val="00A376B7"/>
    <w:rsid w:val="00A41BF5"/>
    <w:rsid w:val="00A43150"/>
    <w:rsid w:val="00A44778"/>
    <w:rsid w:val="00A469E7"/>
    <w:rsid w:val="00A604A4"/>
    <w:rsid w:val="00A61B7D"/>
    <w:rsid w:val="00A6605B"/>
    <w:rsid w:val="00A66ADC"/>
    <w:rsid w:val="00A7147D"/>
    <w:rsid w:val="00A81B15"/>
    <w:rsid w:val="00A837FF"/>
    <w:rsid w:val="00A84052"/>
    <w:rsid w:val="00A84DC8"/>
    <w:rsid w:val="00A85DBC"/>
    <w:rsid w:val="00A8647A"/>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0AB0"/>
    <w:rsid w:val="00B4108D"/>
    <w:rsid w:val="00B57265"/>
    <w:rsid w:val="00B63346"/>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3A2B"/>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4F3E"/>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D383A"/>
    <w:rsid w:val="00ED730A"/>
    <w:rsid w:val="00ED7417"/>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1A06"/>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清單段落1,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Pages>
  <Words>760</Words>
  <Characters>4332</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19</cp:revision>
  <cp:lastPrinted>2019-04-25T01:09:00Z</cp:lastPrinted>
  <dcterms:created xsi:type="dcterms:W3CDTF">2024-08-03T04:39:00Z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